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D" w:rsidRDefault="004219BA" w:rsidP="004673E3">
      <w:pPr>
        <w:shd w:val="clear" w:color="auto" w:fill="9CC2E5" w:themeFill="accent1" w:themeFillTint="99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Трета покана по програма </w:t>
      </w:r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транснационално сътрудничество </w:t>
      </w:r>
      <w:proofErr w:type="spellStart"/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Интеррег</w:t>
      </w:r>
      <w:proofErr w:type="spellEnd"/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Дунав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ски регион 2021-2027</w:t>
      </w: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:rsidR="008806CF" w:rsidRDefault="004219BA" w:rsidP="004219B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рамка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п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редстоящата Трета отворена покана за проектни предложения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програма Дунавски регион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2021-2027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са одобрени по време на заседание на Комитета за наблюдение на програмата проведено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периода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12-14 май, в гр. Прага, Чехия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Предложението е изготвено въз основа на анализ на</w:t>
      </w:r>
      <w:r w:rsidRPr="00421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изпълнението на програмните приоритети и</w:t>
      </w:r>
      <w:r w:rsidRPr="004219B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свободните програмни средства</w:t>
      </w:r>
      <w:r w:rsidRPr="004219B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–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т.е.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поканата е насочена към проектни предложения в области, по които остават неизпълнени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целевите стойности на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програмните индикатори по приоритети и специфични цели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за които има неусвоени средства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:rsidR="00CE0A61" w:rsidRPr="008D3C11" w:rsidRDefault="00CE0A61" w:rsidP="004219B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Поканата 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(с общ бюджет 27,3 млн. евро)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ще бъде обявена в средата на м. септември 2025 г., с краен срок на подаване на проектни предложения – 15 декември 2025 г. Кандидатстването ще бъде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едностъпково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т.е. ще се подават пълни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апликационни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форми в електронната система на програмата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JeMS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Допустими кандидате са институции и организации от държавите участнички в програмата: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Австрия, </w:t>
      </w:r>
      <w:r w:rsidR="008D3C11" w:rsidRPr="008D3C1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България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D3C11" w:rsidRPr="008D3C1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(цялата територия)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Хърватия, Чехия, Германия ( 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федерални провинции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Баден-</w:t>
      </w:r>
      <w:proofErr w:type="spellStart"/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Вюртемберг</w:t>
      </w:r>
      <w:proofErr w:type="spellEnd"/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Бавар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ия), Унгария, Румъния, Словакия,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Словения; Босна и Херцеговина, Черна гора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Сърбия, Молдова и Украйна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4219BA" w:rsidRPr="00CE0A61" w:rsidRDefault="006D0E5D" w:rsidP="004673E3">
      <w:pPr>
        <w:shd w:val="clear" w:color="auto" w:fill="DEEAF6" w:themeFill="accent1" w:themeFillTint="33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Тематичен фокус</w:t>
      </w:r>
      <w:r w:rsidR="008806CF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 бюджет </w:t>
      </w:r>
      <w:r w:rsidR="008806CF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на поканата</w:t>
      </w:r>
      <w:r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:</w:t>
      </w:r>
      <w:r w:rsidR="004219BA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4219BA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 xml:space="preserve"> </w:t>
      </w:r>
    </w:p>
    <w:p w:rsidR="00CC3884" w:rsidRDefault="00521BE0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1, </w:t>
      </w:r>
      <w:r w:rsidR="004219BA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="006D0E5D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</w:t>
      </w:r>
      <w:r w:rsidR="006D0E5D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цел</w:t>
      </w:r>
      <w:r w:rsidR="004219BA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1.2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Развитие на умения в областта на изкуствения интелект (ИИ) </w:t>
      </w:r>
      <w:r w:rsidR="00CC3884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-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предоставяне на продукти и услуги </w:t>
      </w:r>
      <w:r w:rsidR="004673E3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с добавена стойност и 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 транснационално</w:t>
      </w:r>
      <w:r w:rsidR="00CE0A61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въздействие в Дунавския регион. </w:t>
      </w:r>
    </w:p>
    <w:p w:rsidR="00CE0A61" w:rsidRDefault="00CE0A61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Третата покана ще подкрепя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проекти за повишаване на капацитета в областта на </w:t>
      </w:r>
      <w:r w:rsidR="00C02568"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 публични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(основна целева група), неправителствени организации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работещи в сферата на дигиталните умения и бизнес подкрепата, академични и научно-изследователски организации и др. </w:t>
      </w:r>
    </w:p>
    <w:p w:rsidR="004673E3" w:rsidRPr="004673E3" w:rsidRDefault="00956D31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и</w:t>
      </w:r>
      <w:r w:rsidR="004673E3" w:rsidRPr="004673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ндикативни дейности: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капацитет за </w:t>
      </w:r>
      <w:r w:rsidR="004219BA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етично използване на технологиите с изкуствен интелект, дигитална трансформация и създаване на вис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ококачествени продукти и услуги;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Подкрепа за дигитални услуги, подпомагащи малкия и средния бизнес,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стартъпи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професионалисти за прилагане на ИИ в процесите за разширяване на производството и бизнес растежа;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Развитие 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умения, свързани с ИИ, интегриране на ИИ в цифрови екосистеми (напр.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Интернет на нещата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блокчейн</w:t>
      </w:r>
      <w:proofErr w:type="spellEnd"/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, дигитални близнаци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облачни пространства и др.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асърчаване на етични практики в използването на 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повишаване на познанията в областта на ИИ, 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изграждане на транснационална рамка за ИИ компетенции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различни сектори на икономиката и индустриите;</w:t>
      </w:r>
    </w:p>
    <w:p w:rsidR="005C3A98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Засилване на сътрудничеството между академичната общност, бизнеса и политико правещи институции за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подкреп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на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предприемачеството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работната сила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свързано с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развитие на умения и знания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областта на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70CC5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ъздаване на обучителни методи и инструменти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МСП за въвеждане и тестване на операционни решения в сферата на ИИ; </w:t>
      </w:r>
    </w:p>
    <w:p w:rsidR="005C3A98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Създаване на обща транснационална рамка за компетенции в сферата на ИИ.</w:t>
      </w:r>
    </w:p>
    <w:p w:rsidR="005C3A98" w:rsidRDefault="00956D31" w:rsidP="005C3A98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Предложените мерки в с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>ъвместните проекти следва да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адресират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следните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сфери на интервенции (неизчерпателен списък)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5C3A98" w:rsidRPr="005C3A98" w:rsidRDefault="005C3A98" w:rsidP="00673E70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Етика и управление на ИИ: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разработване и обучение по етично използване на ИИ, съответствие с регулаторните изисквания за отговорно внедряване на ИИ</w:t>
      </w:r>
      <w:r w:rsidR="00673E7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5C3A98" w:rsidRPr="005C3A98" w:rsidRDefault="005C3A98" w:rsidP="00673E70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ИИ в предприемачеството: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подкрепа за стартиращи компании в областта на ИИ чрез инкубационни програми, менторство и насоки за финансиране</w:t>
      </w:r>
    </w:p>
    <w:p w:rsidR="005C3A98" w:rsidRDefault="005C3A98" w:rsidP="00C007D8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Транснационално сътрудничество в областта на ИИ: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съвместни проекти между университети, изследователски центрове и бизнеси за разработване на транснационални решения в областта на ИИ, като например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разработване на програми за обучение, семинари и курсове за сертифициране в областта на ИИ за студенти и професионалисти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практическо обучение по инструменти, задвижвани от ИИ, 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различни сектори на производството и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индустрии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те, както и в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селско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стопанство и здравеопазване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дигитална трансформация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публичния сектор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разработване и внедряване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програми, които 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да под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помагат организациите да интегрират ИИ в своите операции, за 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подобряване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производителността и ефективността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процесите; внедряване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иновации, задвижвани от ИИ, за мониторинг на климата, интелигентни градове и устойчиво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управление на ресурсите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Интегриране на решения, свързани с ИИ, в транснационални, дигитални екосистеми</w:t>
      </w:r>
      <w:r w:rsid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956D31" w:rsidRPr="00956D31" w:rsidRDefault="00956D31" w:rsidP="00956D31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Успешните проекти трябва да демонстрират: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Повишен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капацитет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практически умения в областта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 професионалисти от публични организации,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 пилотно въвеждане на мерки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подкрепа на бизнеса при предоставянето на транснационални продукти и услуги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Разработ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ени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учебни материали, платформи за обучение и програми за сертифициране, базирани на изкуствен интелект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Засилено транснационално сътрудничество в научноизследователската и развойна дейност в областта на изкуствения интелект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Практични р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ешения, основани на изкуствен интелект, които подобряват икономическото и социалното развитие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Индиректна подкрепа на бизнеса за 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по-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>широко използване на 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зкуствения интелект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производството;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Повишена връзка между заинтересованите страни с опит в областта на изкуствения интелект и МСП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CC3884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Надграждане и капитализация</w:t>
      </w:r>
      <w:r w:rsidR="00956D31"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съществуващи и добре функциониращи организационни структури в рамките на Дунавската стратегия и Дунавския регион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22371D" w:rsidRPr="003147C0" w:rsidRDefault="00A909B7" w:rsidP="00253BF1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</w:t>
      </w:r>
      <w:r w:rsidR="003147C0" w:rsidRPr="003147C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отенциални п</w:t>
      </w:r>
      <w:r w:rsidR="0022371D" w:rsidRPr="003147C0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Университети, изследователски институти, доставчици на обучение по из-куствен интелект и иновационни лаборатории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Публични институции, агенции за иновации и развитие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Търговски камари и организации за дигитална икономика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НПО, работещи в областта на развитието на цифрови умения</w:t>
      </w:r>
    </w:p>
    <w:p w:rsidR="003C3705" w:rsidRPr="003C3705" w:rsidRDefault="003C3705" w:rsidP="003C3705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Като партньори могат да кандидатстват и МСП и бизнес асоциации, но с предимство ще бъд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ат подкрепяни проекти с участието на партньори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гор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епосочената целева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група. </w:t>
      </w:r>
    </w:p>
    <w:p w:rsidR="0022371D" w:rsidRDefault="0022371D" w:rsidP="0022371D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147C0">
        <w:rPr>
          <w:rFonts w:ascii="Times New Roman" w:eastAsia="Calibri" w:hAnsi="Times New Roman" w:cs="Times New Roman"/>
          <w:i/>
          <w:sz w:val="24"/>
          <w:szCs w:val="24"/>
          <w:lang w:val="hu-HU"/>
        </w:rPr>
        <w:t>Бюджет</w:t>
      </w:r>
      <w:r w:rsidR="00747BB6">
        <w:rPr>
          <w:rFonts w:ascii="Times New Roman" w:eastAsia="Calibri" w:hAnsi="Times New Roman" w:cs="Times New Roman"/>
          <w:sz w:val="24"/>
          <w:szCs w:val="24"/>
          <w:lang w:val="hu-HU"/>
        </w:rPr>
        <w:t>: 2 8</w:t>
      </w:r>
      <w:r w:rsidRPr="0022371D">
        <w:rPr>
          <w:rFonts w:ascii="Times New Roman" w:eastAsia="Calibri" w:hAnsi="Times New Roman" w:cs="Times New Roman"/>
          <w:sz w:val="24"/>
          <w:szCs w:val="24"/>
          <w:lang w:val="hu-HU"/>
        </w:rPr>
        <w:t>00 000 евро.</w:t>
      </w:r>
    </w:p>
    <w:p w:rsidR="003147C0" w:rsidRDefault="003147C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bookmarkStart w:id="0" w:name="_GoBack"/>
      <w:bookmarkEnd w:id="0"/>
    </w:p>
    <w:p w:rsidR="003C3705" w:rsidRDefault="00521BE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lastRenderedPageBreak/>
        <w:t xml:space="preserve">Приоритет 2, </w:t>
      </w:r>
      <w:r w:rsidR="00253BF1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="00253BF1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="00253BF1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2</w:t>
      </w:r>
      <w:r w:rsid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.1</w:t>
      </w:r>
      <w:r w:rsidR="00253BF1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Тази специфична цел ще съсредоточи усилия върху мотивиране на малки и средни общини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Дунавския регион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енергийния преход. Ще се търсят устойчиви решения за възобновяеми енергийни източници, в контекста на производство на енергия, отоплителни и охладителни системи, и др. </w:t>
      </w:r>
    </w:p>
    <w:p w:rsidR="00521BE0" w:rsidRPr="00521BE0" w:rsidRDefault="00521BE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Проектите по тази специфична цел могат да предложат мерки за капитализация на резултатите от успешни проекти в сферата на енергийния преход от Първа покана (напр.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Danube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geoHeCo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REHEATEAST,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StoreMore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ESINERGY,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SMEnergy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NRGCOM,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and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DECA,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Danube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Indeet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), 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и други проекти и инициативи изпълнени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 от Дунавския регион по програмите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ЕС </w:t>
      </w:r>
      <w:proofErr w:type="spellStart"/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>Horizon</w:t>
      </w:r>
      <w:proofErr w:type="spellEnd"/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 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>Life Programme.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521BE0" w:rsidRPr="00521BE0" w:rsidRDefault="00521BE0" w:rsidP="00521BE0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521BE0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253BF1" w:rsidRPr="00253BF1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Регионални и местни администрации, публични институции</w:t>
      </w:r>
      <w:r w:rsidR="003B722C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253BF1" w:rsidRPr="00253BF1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Агенции за развитие</w:t>
      </w:r>
    </w:p>
    <w:p w:rsidR="00253BF1" w:rsidRPr="003B722C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Доставчици на услуги и МСП</w:t>
      </w:r>
      <w:r w:rsidR="003B722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B722C" w:rsidRPr="00253BF1" w:rsidRDefault="003B722C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Университети и научно-изследователски институти (вторична целева група).</w:t>
      </w:r>
    </w:p>
    <w:p w:rsidR="004219BA" w:rsidRPr="003C3705" w:rsidRDefault="004219BA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</w:t>
      </w:r>
      <w:r w:rsidR="00253BF1"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="00253BF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4 000 000 евро.</w:t>
      </w:r>
    </w:p>
    <w:p w:rsidR="003B722C" w:rsidRDefault="003B722C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253BF1" w:rsidRDefault="003B722C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2,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 w:rsidR="004219BA" w:rsidRPr="003B722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2.2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>е свързан с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предизвикателства свързани с климатичните изменения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извън градска среда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транснационални мерки за координация, прогнозиране, мониторинг и справяне с рисковите фактори.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Дейностите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следва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да са насочени към адаптиране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изменението на климата и/или екологични рискове, предизвикани от изменението на климата (наводнения, суши, горски пожари)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както и инцидентно 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>замърсяване на реките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причинено от човешка дейност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B722C" w:rsidRPr="003B722C" w:rsidRDefault="003B722C" w:rsidP="003B722C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3B722C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 xml:space="preserve">Национални, регионални публични органи и организации, отговорни за управлението на наводнения или свързани с тях екологични проблеми;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 xml:space="preserve">Хидрометеорологични служби;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>Органи за управление на бедствия;</w:t>
      </w:r>
    </w:p>
    <w:p w:rsidR="00602348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>Професионални и доброволчески организации за гражданска защита</w:t>
      </w:r>
      <w:r w:rsidR="003B722C">
        <w:rPr>
          <w:rFonts w:ascii="Open Sans" w:eastAsia="Calibri" w:hAnsi="Open Sans" w:cs="Open Sans"/>
          <w:bCs/>
          <w:lang w:val="bg-BG"/>
        </w:rPr>
        <w:t>;</w:t>
      </w:r>
    </w:p>
    <w:p w:rsidR="003B722C" w:rsidRPr="00D53B85" w:rsidRDefault="003B722C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>
        <w:rPr>
          <w:rFonts w:ascii="Open Sans" w:eastAsia="Calibri" w:hAnsi="Open Sans" w:cs="Open Sans"/>
          <w:bCs/>
          <w:lang w:val="bg-BG"/>
        </w:rPr>
        <w:t>Изследователски институти и университети.</w:t>
      </w:r>
    </w:p>
    <w:p w:rsidR="004219BA" w:rsidRPr="00D53B85" w:rsidRDefault="00253BF1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</w:t>
      </w:r>
      <w:r w:rsidR="004219BA"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юджет</w:t>
      </w: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5 500 000 евро.</w:t>
      </w:r>
    </w:p>
    <w:p w:rsidR="003B722C" w:rsidRDefault="003B722C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602348" w:rsidRPr="00D53B85" w:rsidRDefault="00210790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2,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 w:rsidRPr="003B722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3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проектните предложения по тази специфична цел следва да адресират мерки за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справянето с въздействието на изменението на климата върху транснационалното управление на водите. Ключовите теми включват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създаване на хармонизирани и координирани подходи за справяне с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недостиг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на вода;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балансирано използване на водните ресурси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устойчиво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управление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ресурсите в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засушаване и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ниско ниво на води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те; въвеждане на устойчиви практики за управление на водите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контекста на опазването на околната среда, устойчиво земеделие, навигацията, производството на енергия и др.</w:t>
      </w:r>
    </w:p>
    <w:p w:rsidR="00431F79" w:rsidRPr="00431F79" w:rsidRDefault="00431F79" w:rsidP="00431F79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431F79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602348" w:rsidRPr="00D53B85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ационални, регионални 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местни власти, отговорни за изпълнение на </w:t>
      </w:r>
      <w:proofErr w:type="spellStart"/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>политикикте</w:t>
      </w:r>
      <w:proofErr w:type="spellEnd"/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</w:t>
      </w:r>
      <w:r w:rsidR="004A3536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т съответните тематични сектори;</w:t>
      </w:r>
    </w:p>
    <w:p w:rsidR="00602348" w:rsidRPr="00D53B85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Х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идрометеорологични служби</w:t>
      </w:r>
    </w:p>
    <w:p w:rsidR="00431F79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оставчици на инфраструктура и (публични) услуги (напр. за водоснабдяване, пречистване на отпадъчни в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>оди, водноелектрически централи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др.);</w:t>
      </w:r>
    </w:p>
    <w:p w:rsidR="00602348" w:rsidRPr="004A3536" w:rsidRDefault="00431F79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Неправителствени 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научно-изследователски институции и асоциации работещи в сферата на устойчиво управление на водите.</w:t>
      </w:r>
    </w:p>
    <w:p w:rsidR="004219BA" w:rsidRDefault="00602348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</w:t>
      </w:r>
      <w:r w:rsidR="004219BA"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юджет</w:t>
      </w: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5 000 000 евро</w:t>
      </w:r>
    </w:p>
    <w:p w:rsidR="004A3536" w:rsidRDefault="004A3536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A3536" w:rsidRDefault="00431F79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3,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3.1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цели повишаване на 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капацитет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>а на организации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подкрепа на заетостта (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информационни системи; координация; обучение, например в социалната икономика).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Индикативните дейности включват: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създаване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информационни системи, които да предоставят данни за тенденциите в движението на раб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отната сила в Дунавския регион (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произтичаща от неравенствата на пазара на труда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създаване на т.нар.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3948CD">
        <w:rPr>
          <w:rFonts w:ascii="Times New Roman" w:eastAsia="Calibri" w:hAnsi="Times New Roman" w:cs="Times New Roman"/>
          <w:sz w:val="24"/>
          <w:szCs w:val="24"/>
        </w:rPr>
        <w:t>Danube observatory system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за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 на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трудовата миграция и нейното въздействие върху сближаването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регионите,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участието на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отговорни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публични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институции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, академични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среди и гражданско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общество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948CD" w:rsidRPr="003948CD" w:rsidRDefault="003948CD" w:rsidP="003948CD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3948C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3948CD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7A200D" w:rsidRPr="007A200D" w:rsidRDefault="003948C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Национални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служби по заетостта;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ниверситети и изследователски организации;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Търговски к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амари и техните асоциации;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оциални партньори; </w:t>
      </w:r>
    </w:p>
    <w:p w:rsidR="008C0C70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ационални и регионални органи и агенции за развитие; </w:t>
      </w:r>
    </w:p>
    <w:p w:rsidR="007A200D" w:rsidRPr="007A200D" w:rsidRDefault="003948C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правителствени организации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работещи с маргинализирани и социално-уязвими общности 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19BA" w:rsidRP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948C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3 000 000 евро.</w:t>
      </w:r>
    </w:p>
    <w:p w:rsidR="003948CD" w:rsidRDefault="003948CD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825C52" w:rsidRDefault="00825C52" w:rsidP="00825C52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Приоритет 3, Специфична цел 3.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 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фокусира върху 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развитие на съществуващи или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нови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Центрове за професионални постижения (</w:t>
      </w:r>
      <w:proofErr w:type="spellStart"/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CoVEs</w:t>
      </w:r>
      <w:proofErr w:type="spellEnd"/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) в Дунавския регион –обмен на опит, създаване на мрежи от партньорски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изграждане/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модернизиране на 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системи за професионално образование и обучение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подобряване качеството на предоставяните услуги и въвеждане на механизми за подкрепа на 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стратегически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те,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социалните, икономическите и педагогическите 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модели и системи за справяне с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предизвикателства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>; у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лесняване на обединяването на </w:t>
      </w:r>
      <w:proofErr w:type="spellStart"/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CoVEs</w:t>
      </w:r>
      <w:proofErr w:type="spellEnd"/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споделят общ интерес в специфични сектори и иновативни подходи за справяне с обществените предизвикателства (например социално приобщаване, зелени умения, дигитализация, изкуствен интелект, повишаване на квалификацията на лица с </w:t>
      </w:r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>маргинализирани</w:t>
      </w:r>
      <w:proofErr w:type="spellEnd"/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социално-уязвими общности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др.)</w:t>
      </w:r>
    </w:p>
    <w:p w:rsidR="005E017B" w:rsidRPr="005E017B" w:rsidRDefault="005E017B" w:rsidP="005E017B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5E017B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5E017B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493B6E" w:rsidRPr="007A200D" w:rsidRDefault="00825C52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Образователни институции, в т.ч. училища, професионални гимназии, у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ниверситети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научно-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изследователски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институции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Търговски к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амари и техните асоциации;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оциални партньори;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ационални и регионални органи и агенции за развитие; </w:t>
      </w:r>
    </w:p>
    <w:p w:rsidR="00493B6E" w:rsidRPr="007A200D" w:rsidRDefault="00825C52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правителствени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3 000 000 евро.</w:t>
      </w:r>
    </w:p>
    <w:p w:rsidR="005E017B" w:rsidRDefault="005E017B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4E4129" w:rsidRPr="004E4129" w:rsidRDefault="005E017B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4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, Специфична цел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4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  </w:t>
      </w:r>
      <w:r w:rsidR="004219BA" w:rsidRPr="004219B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Мерки</w:t>
      </w:r>
      <w:proofErr w:type="spellEnd"/>
      <w:r w:rsidR="004E4129">
        <w:rPr>
          <w:rFonts w:ascii="Times New Roman" w:eastAsia="Calibri" w:hAnsi="Times New Roman" w:cs="Times New Roman"/>
          <w:sz w:val="24"/>
          <w:szCs w:val="24"/>
        </w:rPr>
        <w:t xml:space="preserve"> за по-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добро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управление на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въвеждане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устойчиви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икономически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.</w:t>
      </w:r>
      <w:r w:rsidR="004E41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>Проектите по тази специфична цел могат да адресират следните ч</w:t>
      </w:r>
      <w:r w:rsidR="004E41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етири 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тематични </w:t>
      </w:r>
      <w:r w:rsidR="008806CF">
        <w:rPr>
          <w:rFonts w:ascii="Times New Roman" w:eastAsia="Calibri" w:hAnsi="Times New Roman" w:cs="Times New Roman"/>
          <w:sz w:val="24"/>
          <w:szCs w:val="24"/>
          <w:lang w:val="bg-BG"/>
        </w:rPr>
        <w:t>направления, измежду които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кандидатите избират поне едно:</w:t>
      </w:r>
    </w:p>
    <w:p w:rsidR="004E4129" w:rsidRPr="008806CF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Насърчаване на балансирано териториално и социално-икономичес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ко развитие на Дунавския регион, чрез подобряване и хармонизиране на управленски практики и модели, тестване и внедряване на устойчиви решения, създаване на мрежи за сътрудничество и др.;</w:t>
      </w:r>
    </w:p>
    <w:p w:rsidR="004E4129" w:rsidRPr="008806CF" w:rsidRDefault="00493B6E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="004219BA"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крепване на капацитета на местните и регионалните власти, за да могат да се справят по-добре с възникнали кризи от различно естество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E4129" w:rsidRPr="008806CF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Ефективно включване на гражданите в процеси на териториално планиране и насърчаване на устойчива демокрация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E4129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Анализ на уязвимостта на ключови вериги за създаване на стойност (</w:t>
      </w:r>
      <w:r w:rsidRPr="008806CF">
        <w:rPr>
          <w:rFonts w:ascii="Times New Roman" w:eastAsia="Calibri" w:hAnsi="Times New Roman" w:cs="Times New Roman"/>
          <w:sz w:val="24"/>
          <w:szCs w:val="24"/>
        </w:rPr>
        <w:t xml:space="preserve">value chains) </w:t>
      </w: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от транснационална гледна точка и ролята на местните публични органи за осигуряване на тяхното ефективно функциониране.</w:t>
      </w:r>
    </w:p>
    <w:p w:rsidR="00CD0557" w:rsidRPr="00CD0557" w:rsidRDefault="00CD0557" w:rsidP="00CD0557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CD055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CD0557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8806CF" w:rsidRPr="008806CF" w:rsidRDefault="008806CF" w:rsidP="008806CF">
      <w:pPr>
        <w:pStyle w:val="ListParagraph"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Национални, местни и регионални публични органи;</w:t>
      </w:r>
    </w:p>
    <w:p w:rsidR="008806CF" w:rsidRPr="008806CF" w:rsidRDefault="008806CF" w:rsidP="008806CF">
      <w:pPr>
        <w:pStyle w:val="ListParagraph"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 за подкрепа на бизнеса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219BA" w:rsidRP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D055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 000 000 евро. </w:t>
      </w:r>
    </w:p>
    <w:p w:rsidR="00001E15" w:rsidRDefault="00747BB6"/>
    <w:sectPr w:rsidR="00001E15" w:rsidSect="00CC3884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CD1"/>
    <w:multiLevelType w:val="hybridMultilevel"/>
    <w:tmpl w:val="DD00D9E6"/>
    <w:lvl w:ilvl="0" w:tplc="3D50881E">
      <w:numFmt w:val="bullet"/>
      <w:lvlText w:val="•"/>
      <w:lvlJc w:val="left"/>
      <w:pPr>
        <w:ind w:left="570" w:hanging="21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09C6"/>
    <w:multiLevelType w:val="hybridMultilevel"/>
    <w:tmpl w:val="2270A258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F05"/>
    <w:multiLevelType w:val="hybridMultilevel"/>
    <w:tmpl w:val="77A21BDA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5FCA"/>
    <w:multiLevelType w:val="hybridMultilevel"/>
    <w:tmpl w:val="4AECA62C"/>
    <w:lvl w:ilvl="0" w:tplc="3D50881E">
      <w:numFmt w:val="bullet"/>
      <w:lvlText w:val="•"/>
      <w:lvlJc w:val="left"/>
      <w:pPr>
        <w:ind w:left="570" w:hanging="21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4D9"/>
    <w:multiLevelType w:val="hybridMultilevel"/>
    <w:tmpl w:val="40A8F098"/>
    <w:lvl w:ilvl="0" w:tplc="0C30FED4">
      <w:numFmt w:val="bullet"/>
      <w:lvlText w:val="•"/>
      <w:lvlJc w:val="left"/>
      <w:pPr>
        <w:ind w:left="1069" w:hanging="709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03D4"/>
    <w:multiLevelType w:val="hybridMultilevel"/>
    <w:tmpl w:val="0A524F3E"/>
    <w:lvl w:ilvl="0" w:tplc="08C4A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B80"/>
    <w:multiLevelType w:val="hybridMultilevel"/>
    <w:tmpl w:val="83002414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0103"/>
    <w:multiLevelType w:val="hybridMultilevel"/>
    <w:tmpl w:val="090C8CDC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0740F"/>
    <w:multiLevelType w:val="hybridMultilevel"/>
    <w:tmpl w:val="B7C6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54826"/>
    <w:multiLevelType w:val="hybridMultilevel"/>
    <w:tmpl w:val="05001E02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6E29"/>
    <w:multiLevelType w:val="hybridMultilevel"/>
    <w:tmpl w:val="BEB4AE5E"/>
    <w:lvl w:ilvl="0" w:tplc="08C4ABA6">
      <w:numFmt w:val="bullet"/>
      <w:lvlText w:val="-"/>
      <w:lvlJc w:val="left"/>
      <w:pPr>
        <w:ind w:left="570" w:hanging="21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90AB0"/>
    <w:multiLevelType w:val="hybridMultilevel"/>
    <w:tmpl w:val="59D00446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F7667"/>
    <w:multiLevelType w:val="hybridMultilevel"/>
    <w:tmpl w:val="9232F4C4"/>
    <w:lvl w:ilvl="0" w:tplc="0C30FED4">
      <w:numFmt w:val="bullet"/>
      <w:lvlText w:val="•"/>
      <w:lvlJc w:val="left"/>
      <w:pPr>
        <w:ind w:left="1069" w:hanging="709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BA"/>
    <w:rsid w:val="00097C0D"/>
    <w:rsid w:val="000E6FBE"/>
    <w:rsid w:val="00210790"/>
    <w:rsid w:val="0022371D"/>
    <w:rsid w:val="00253BF1"/>
    <w:rsid w:val="003147C0"/>
    <w:rsid w:val="003948CD"/>
    <w:rsid w:val="003B722C"/>
    <w:rsid w:val="003C3705"/>
    <w:rsid w:val="004219BA"/>
    <w:rsid w:val="00431F79"/>
    <w:rsid w:val="004673E3"/>
    <w:rsid w:val="00470CC5"/>
    <w:rsid w:val="00493B6E"/>
    <w:rsid w:val="004A271C"/>
    <w:rsid w:val="004A3536"/>
    <w:rsid w:val="004E4129"/>
    <w:rsid w:val="00521BE0"/>
    <w:rsid w:val="005C3A98"/>
    <w:rsid w:val="005E017B"/>
    <w:rsid w:val="005E5AF4"/>
    <w:rsid w:val="00602348"/>
    <w:rsid w:val="00673E70"/>
    <w:rsid w:val="006D0E5D"/>
    <w:rsid w:val="00747BB6"/>
    <w:rsid w:val="00761132"/>
    <w:rsid w:val="007A200D"/>
    <w:rsid w:val="00825C52"/>
    <w:rsid w:val="008806CF"/>
    <w:rsid w:val="008C0C70"/>
    <w:rsid w:val="008D3C11"/>
    <w:rsid w:val="00956D31"/>
    <w:rsid w:val="009D1E38"/>
    <w:rsid w:val="00A909B7"/>
    <w:rsid w:val="00B2219F"/>
    <w:rsid w:val="00BA4FAC"/>
    <w:rsid w:val="00C02568"/>
    <w:rsid w:val="00C27748"/>
    <w:rsid w:val="00CC3535"/>
    <w:rsid w:val="00CC3884"/>
    <w:rsid w:val="00CD0557"/>
    <w:rsid w:val="00CE0A61"/>
    <w:rsid w:val="00D53B85"/>
    <w:rsid w:val="00DD37C9"/>
    <w:rsid w:val="00E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036"/>
  <w15:chartTrackingRefBased/>
  <w15:docId w15:val="{0317FB92-1F29-4EDC-B5E5-831B079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Tsvetomir Yankov Tsanev</dc:creator>
  <cp:keywords/>
  <dc:description/>
  <cp:lastModifiedBy>DIANA BOBEVA NIKOLOVA</cp:lastModifiedBy>
  <cp:revision>5</cp:revision>
  <dcterms:created xsi:type="dcterms:W3CDTF">2025-06-11T10:17:00Z</dcterms:created>
  <dcterms:modified xsi:type="dcterms:W3CDTF">2025-07-08T08:07:00Z</dcterms:modified>
</cp:coreProperties>
</file>